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204" w14:textId="77777777" w:rsidR="00FB37A6" w:rsidRPr="0015585E" w:rsidRDefault="0097335D" w:rsidP="00473A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Learn t</w:t>
      </w:r>
      <w:r w:rsidR="007528F8" w:rsidRPr="007528F8">
        <w:rPr>
          <w:b/>
          <w:color w:val="000000"/>
          <w:sz w:val="28"/>
          <w:szCs w:val="28"/>
        </w:rPr>
        <w:t>o Swim Instructor</w:t>
      </w: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4952"/>
        <w:gridCol w:w="5528"/>
      </w:tblGrid>
      <w:tr w:rsidR="00C976FA" w:rsidRPr="0015585E" w14:paraId="78E9BE20" w14:textId="77777777" w:rsidTr="0082625B">
        <w:tc>
          <w:tcPr>
            <w:tcW w:w="10480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14:paraId="03FF6C48" w14:textId="77777777" w:rsidR="00C976FA" w:rsidRPr="0015585E" w:rsidRDefault="00C976FA" w:rsidP="00A952EC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</w:rPr>
            </w:pPr>
            <w:r w:rsidRPr="0015585E">
              <w:rPr>
                <w:rFonts w:asciiTheme="minorHAnsi" w:hAnsiTheme="minorHAnsi"/>
                <w:b/>
                <w:bCs/>
                <w:color w:val="FFFFFF"/>
              </w:rPr>
              <w:t>Key Position Information</w:t>
            </w:r>
          </w:p>
        </w:tc>
      </w:tr>
      <w:tr w:rsidR="00C976FA" w:rsidRPr="0015585E" w14:paraId="2A32F7AC" w14:textId="77777777" w:rsidTr="00E8468F">
        <w:tc>
          <w:tcPr>
            <w:tcW w:w="4952" w:type="dxa"/>
            <w:tcBorders>
              <w:right w:val="nil"/>
            </w:tcBorders>
            <w:shd w:val="clear" w:color="auto" w:fill="auto"/>
          </w:tcPr>
          <w:p w14:paraId="3A2FC5C4" w14:textId="77777777" w:rsidR="00C976FA" w:rsidRPr="0015585E" w:rsidRDefault="00C976FA" w:rsidP="00CD642C">
            <w:pPr>
              <w:spacing w:before="60" w:after="6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Cs/>
              </w:rPr>
              <w:t>Job Title</w:t>
            </w:r>
            <w:r w:rsidR="00F11368" w:rsidRPr="0015585E">
              <w:rPr>
                <w:rFonts w:asciiTheme="minorHAnsi" w:hAnsiTheme="minorHAnsi"/>
                <w:bCs/>
              </w:rPr>
              <w:t xml:space="preserve">: </w:t>
            </w:r>
            <w:r w:rsidR="0044261C">
              <w:rPr>
                <w:rFonts w:asciiTheme="minorHAnsi" w:hAnsiTheme="minorHAnsi"/>
                <w:b/>
                <w:bCs/>
                <w:lang w:val="en-US"/>
              </w:rPr>
              <w:t>Learn t</w:t>
            </w:r>
            <w:r w:rsidR="007528F8" w:rsidRPr="007528F8">
              <w:rPr>
                <w:rFonts w:asciiTheme="minorHAnsi" w:hAnsiTheme="minorHAnsi"/>
                <w:b/>
                <w:bCs/>
                <w:lang w:val="en-US"/>
              </w:rPr>
              <w:t>o Swim Instructor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14:paraId="55C2B8A8" w14:textId="77777777" w:rsidR="00C976FA" w:rsidRPr="0015585E" w:rsidRDefault="00C976FA" w:rsidP="00CD642C">
            <w:pPr>
              <w:spacing w:before="60" w:after="60" w:line="240" w:lineRule="auto"/>
              <w:ind w:left="1876" w:hanging="1843"/>
              <w:rPr>
                <w:rFonts w:asciiTheme="minorHAnsi" w:hAnsiTheme="minorHAnsi"/>
                <w:b/>
              </w:rPr>
            </w:pPr>
            <w:r w:rsidRPr="0015585E">
              <w:rPr>
                <w:rFonts w:asciiTheme="minorHAnsi" w:hAnsiTheme="minorHAnsi"/>
              </w:rPr>
              <w:t>Position Reports To:</w:t>
            </w:r>
            <w:r w:rsidR="007E526F" w:rsidRPr="0015585E">
              <w:rPr>
                <w:rFonts w:asciiTheme="minorHAnsi" w:hAnsiTheme="minorHAnsi"/>
              </w:rPr>
              <w:t xml:space="preserve"> </w:t>
            </w:r>
            <w:r w:rsidR="00CD642C">
              <w:rPr>
                <w:rFonts w:asciiTheme="minorHAnsi" w:hAnsiTheme="minorHAnsi"/>
                <w:b/>
              </w:rPr>
              <w:t>Aquatics Coordinator</w:t>
            </w:r>
          </w:p>
        </w:tc>
      </w:tr>
      <w:tr w:rsidR="00CB4E56" w:rsidRPr="0015585E" w14:paraId="3EBC16C6" w14:textId="77777777" w:rsidTr="0085298A">
        <w:tc>
          <w:tcPr>
            <w:tcW w:w="10480" w:type="dxa"/>
            <w:gridSpan w:val="2"/>
            <w:tcBorders>
              <w:bottom w:val="single" w:sz="8" w:space="0" w:color="F9B074"/>
            </w:tcBorders>
            <w:shd w:val="clear" w:color="auto" w:fill="auto"/>
          </w:tcPr>
          <w:p w14:paraId="005457E2" w14:textId="77777777" w:rsidR="00BB389D" w:rsidRPr="0015585E" w:rsidRDefault="00CB4E56" w:rsidP="00A952EC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15585E">
              <w:rPr>
                <w:rFonts w:asciiTheme="minorHAnsi" w:hAnsiTheme="minorHAnsi"/>
                <w:bCs/>
              </w:rPr>
              <w:t>Location:</w:t>
            </w:r>
            <w:r w:rsidRPr="0015585E">
              <w:rPr>
                <w:rFonts w:asciiTheme="minorHAnsi" w:hAnsiTheme="minorHAnsi"/>
                <w:b/>
                <w:bCs/>
              </w:rPr>
              <w:t xml:space="preserve"> National Centre of Indigenous Exc</w:t>
            </w:r>
            <w:r w:rsidR="00BB389D" w:rsidRPr="0015585E">
              <w:rPr>
                <w:rFonts w:asciiTheme="minorHAnsi" w:hAnsiTheme="minorHAnsi"/>
                <w:b/>
                <w:bCs/>
              </w:rPr>
              <w:t>ellence, 180 George St, Redfern</w:t>
            </w:r>
          </w:p>
        </w:tc>
      </w:tr>
      <w:tr w:rsidR="00473AE6" w:rsidRPr="0015585E" w14:paraId="031276A9" w14:textId="77777777" w:rsidTr="001204AF">
        <w:tc>
          <w:tcPr>
            <w:tcW w:w="4952" w:type="dxa"/>
            <w:shd w:val="clear" w:color="auto" w:fill="auto"/>
          </w:tcPr>
          <w:p w14:paraId="50C28112" w14:textId="77777777" w:rsidR="00473AE6" w:rsidRPr="0015585E" w:rsidRDefault="00473AE6" w:rsidP="006111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Helvetica"/>
                <w:b/>
                <w:lang w:eastAsia="en-AU"/>
              </w:rPr>
            </w:pPr>
            <w:r w:rsidRPr="0015585E">
              <w:rPr>
                <w:rFonts w:asciiTheme="minorHAnsi" w:hAnsiTheme="minorHAnsi" w:cs="Helvetica"/>
                <w:lang w:eastAsia="en-AU"/>
              </w:rPr>
              <w:t xml:space="preserve">Status: </w:t>
            </w:r>
            <w:r w:rsidR="006111C1">
              <w:rPr>
                <w:rFonts w:asciiTheme="minorHAnsi" w:hAnsiTheme="minorHAnsi" w:cs="Helvetica"/>
                <w:b/>
                <w:lang w:eastAsia="en-AU"/>
              </w:rPr>
              <w:t>Casual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DE8148" w14:textId="77777777" w:rsidR="004155B0" w:rsidRPr="0015585E" w:rsidRDefault="00806F68" w:rsidP="00806F68">
            <w:pPr>
              <w:pStyle w:val="NoSpacing"/>
              <w:rPr>
                <w:b/>
                <w:lang w:eastAsia="en-AU"/>
              </w:rPr>
            </w:pPr>
            <w:r w:rsidRPr="0015585E">
              <w:rPr>
                <w:lang w:eastAsia="en-AU"/>
              </w:rPr>
              <w:t xml:space="preserve">Direct reports: </w:t>
            </w:r>
            <w:r w:rsidR="0043614E" w:rsidRPr="0043614E">
              <w:rPr>
                <w:b/>
                <w:lang w:eastAsia="en-AU"/>
              </w:rPr>
              <w:t>Nil</w:t>
            </w:r>
          </w:p>
        </w:tc>
      </w:tr>
    </w:tbl>
    <w:p w14:paraId="765EDA27" w14:textId="77777777" w:rsidR="00C976FA" w:rsidRPr="0015585E" w:rsidRDefault="00C976FA" w:rsidP="00A952EC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10480"/>
      </w:tblGrid>
      <w:tr w:rsidR="00C976FA" w:rsidRPr="0015585E" w14:paraId="595AD39A" w14:textId="77777777" w:rsidTr="0082625B">
        <w:tc>
          <w:tcPr>
            <w:tcW w:w="1048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14:paraId="2FE4032E" w14:textId="77777777" w:rsidR="00C976FA" w:rsidRPr="0015585E" w:rsidRDefault="00C976FA" w:rsidP="00A6664A">
            <w:pPr>
              <w:pStyle w:val="NoSpacing"/>
              <w:rPr>
                <w:b/>
                <w:color w:val="FFFFFF" w:themeColor="background1"/>
              </w:rPr>
            </w:pPr>
            <w:r w:rsidRPr="0015585E">
              <w:rPr>
                <w:b/>
                <w:color w:val="FFFFFF" w:themeColor="background1"/>
              </w:rPr>
              <w:t>Primary Purpose of Job</w:t>
            </w:r>
          </w:p>
        </w:tc>
      </w:tr>
      <w:tr w:rsidR="00C976FA" w:rsidRPr="0015585E" w14:paraId="6FDB906C" w14:textId="77777777" w:rsidTr="0085298A">
        <w:tc>
          <w:tcPr>
            <w:tcW w:w="10480" w:type="dxa"/>
            <w:shd w:val="clear" w:color="auto" w:fill="auto"/>
          </w:tcPr>
          <w:p w14:paraId="0C749743" w14:textId="77777777" w:rsidR="0061643C" w:rsidRPr="0015585E" w:rsidRDefault="00107A54" w:rsidP="00E135F9">
            <w:pPr>
              <w:pStyle w:val="NoSpacing"/>
            </w:pPr>
            <w:r w:rsidRPr="00E135F9">
              <w:t xml:space="preserve">The role of </w:t>
            </w:r>
            <w:r w:rsidR="00CD642C" w:rsidRPr="00E135F9">
              <w:t>the</w:t>
            </w:r>
            <w:r w:rsidR="0044261C">
              <w:t xml:space="preserve"> Learn t</w:t>
            </w:r>
            <w:r w:rsidR="007528F8">
              <w:t>o Swim Instructor is</w:t>
            </w:r>
            <w:r w:rsidR="00CD642C" w:rsidRPr="00E135F9">
              <w:t xml:space="preserve"> </w:t>
            </w:r>
            <w:r w:rsidR="007528F8">
              <w:t>t</w:t>
            </w:r>
            <w:r w:rsidR="007528F8" w:rsidRPr="007528F8">
              <w:rPr>
                <w:lang w:val="en-US"/>
              </w:rPr>
              <w:t>o provide high quality teaching to children and adults in accordance with the AUSTSWIM and Swim NSW Industry guidelines and NCIE lesson plans.</w:t>
            </w:r>
          </w:p>
        </w:tc>
      </w:tr>
    </w:tbl>
    <w:p w14:paraId="55406A15" w14:textId="77777777" w:rsidR="00BB389D" w:rsidRPr="0015585E" w:rsidRDefault="00BB389D" w:rsidP="00A952EC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10480"/>
      </w:tblGrid>
      <w:tr w:rsidR="00CB4E56" w:rsidRPr="0015585E" w14:paraId="63C028B6" w14:textId="77777777" w:rsidTr="0082625B">
        <w:tc>
          <w:tcPr>
            <w:tcW w:w="1048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14:paraId="2332825F" w14:textId="77777777" w:rsidR="00CB4E56" w:rsidRPr="0015585E" w:rsidRDefault="00CB4E56" w:rsidP="00A6664A">
            <w:pPr>
              <w:pStyle w:val="NoSpacing"/>
              <w:rPr>
                <w:b/>
                <w:color w:val="FFFFFF" w:themeColor="background1"/>
              </w:rPr>
            </w:pPr>
            <w:r w:rsidRPr="0015585E">
              <w:rPr>
                <w:b/>
                <w:color w:val="FFFFFF" w:themeColor="background1"/>
              </w:rPr>
              <w:t>Qualifications</w:t>
            </w:r>
          </w:p>
        </w:tc>
      </w:tr>
      <w:tr w:rsidR="00CB4E56" w:rsidRPr="0015585E" w14:paraId="29316219" w14:textId="77777777" w:rsidTr="0085298A">
        <w:tc>
          <w:tcPr>
            <w:tcW w:w="10480" w:type="dxa"/>
            <w:shd w:val="clear" w:color="auto" w:fill="auto"/>
          </w:tcPr>
          <w:p w14:paraId="5DE6C2C7" w14:textId="77777777" w:rsidR="00984DDA" w:rsidRPr="00984DDA" w:rsidRDefault="007528F8" w:rsidP="00984DDA">
            <w:pPr>
              <w:pStyle w:val="NoSpacing"/>
              <w:numPr>
                <w:ilvl w:val="0"/>
                <w:numId w:val="25"/>
              </w:numPr>
              <w:ind w:left="589" w:hanging="229"/>
            </w:pPr>
            <w:r w:rsidRPr="007528F8">
              <w:rPr>
                <w:lang w:val="en-US"/>
              </w:rPr>
              <w:t xml:space="preserve">Current </w:t>
            </w:r>
            <w:r w:rsidR="00984DDA" w:rsidRPr="00984DDA">
              <w:rPr>
                <w:lang w:val="en-US"/>
              </w:rPr>
              <w:t>AUSTSWIM Teacher of Swimming and Water Safety Accreditation</w:t>
            </w:r>
            <w:r w:rsidR="00130C9E">
              <w:rPr>
                <w:lang w:val="en-US"/>
              </w:rPr>
              <w:t>.</w:t>
            </w:r>
          </w:p>
          <w:p w14:paraId="78CB4560" w14:textId="0418A75C" w:rsidR="00984DDA" w:rsidRPr="0015585E" w:rsidRDefault="00E135F9" w:rsidP="00AB764B">
            <w:pPr>
              <w:pStyle w:val="NoSpacing"/>
              <w:numPr>
                <w:ilvl w:val="0"/>
                <w:numId w:val="25"/>
              </w:numPr>
              <w:ind w:left="589" w:hanging="229"/>
            </w:pPr>
            <w:r>
              <w:t>Valid CPR Certificate (</w:t>
            </w:r>
            <w:r w:rsidRPr="00E135F9">
              <w:t>HLTAID00</w:t>
            </w:r>
            <w:r w:rsidR="00C261CB">
              <w:t>9</w:t>
            </w:r>
            <w:r>
              <w:t>) and First Aid Certificate</w:t>
            </w:r>
            <w:r w:rsidRPr="00E135F9">
              <w:t xml:space="preserve"> </w:t>
            </w:r>
            <w:r w:rsidR="00990E31">
              <w:t>(</w:t>
            </w:r>
            <w:r w:rsidR="00990E31" w:rsidRPr="00990E31">
              <w:t>HLTAID0</w:t>
            </w:r>
            <w:r w:rsidR="00C261CB">
              <w:t>11</w:t>
            </w:r>
            <w:r w:rsidR="00990E31">
              <w:t>)</w:t>
            </w:r>
            <w:r w:rsidR="00130C9E">
              <w:t>.</w:t>
            </w:r>
          </w:p>
        </w:tc>
      </w:tr>
    </w:tbl>
    <w:p w14:paraId="668D140C" w14:textId="77777777" w:rsidR="00CB4E56" w:rsidRPr="0015585E" w:rsidRDefault="00CB4E56" w:rsidP="00A952EC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2802"/>
        <w:gridCol w:w="7678"/>
      </w:tblGrid>
      <w:tr w:rsidR="00C976FA" w:rsidRPr="0015585E" w14:paraId="606A86AB" w14:textId="77777777" w:rsidTr="00A6664A">
        <w:trPr>
          <w:trHeight w:val="115"/>
        </w:trPr>
        <w:tc>
          <w:tcPr>
            <w:tcW w:w="28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79646"/>
            <w:vAlign w:val="center"/>
          </w:tcPr>
          <w:p w14:paraId="4D470EB0" w14:textId="77777777" w:rsidR="00C976FA" w:rsidRPr="0015585E" w:rsidRDefault="006739E1" w:rsidP="003D30C1">
            <w:pPr>
              <w:pStyle w:val="NoSpacing"/>
              <w:rPr>
                <w:b/>
                <w:color w:val="FFFFFF" w:themeColor="background1"/>
              </w:rPr>
            </w:pPr>
            <w:r w:rsidRPr="0015585E">
              <w:rPr>
                <w:b/>
                <w:color w:val="FFFFFF" w:themeColor="background1"/>
              </w:rPr>
              <w:br w:type="page"/>
            </w:r>
            <w:r w:rsidR="003D30C1">
              <w:rPr>
                <w:b/>
                <w:color w:val="FFFFFF" w:themeColor="background1"/>
              </w:rPr>
              <w:t>Function</w:t>
            </w:r>
          </w:p>
        </w:tc>
        <w:tc>
          <w:tcPr>
            <w:tcW w:w="7678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79646"/>
            <w:vAlign w:val="center"/>
          </w:tcPr>
          <w:p w14:paraId="3A0B5938" w14:textId="77777777" w:rsidR="00C976FA" w:rsidRPr="0015585E" w:rsidRDefault="003D30C1" w:rsidP="00A6664A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Accountabilities</w:t>
            </w:r>
          </w:p>
        </w:tc>
      </w:tr>
      <w:tr w:rsidR="009F1274" w:rsidRPr="0015585E" w14:paraId="4B13B01B" w14:textId="77777777" w:rsidTr="00CD642C">
        <w:trPr>
          <w:trHeight w:val="2927"/>
        </w:trPr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71BD3957" w14:textId="77777777" w:rsidR="00801A7B" w:rsidRPr="0015585E" w:rsidRDefault="009F1274" w:rsidP="00F9232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>Operational</w:t>
            </w:r>
          </w:p>
          <w:p w14:paraId="034DBC0A" w14:textId="77777777" w:rsidR="00801A7B" w:rsidRPr="0015585E" w:rsidRDefault="00801A7B" w:rsidP="00801A7B">
            <w:pPr>
              <w:rPr>
                <w:rFonts w:asciiTheme="minorHAnsi" w:hAnsiTheme="minorHAnsi"/>
              </w:rPr>
            </w:pPr>
          </w:p>
          <w:p w14:paraId="583381CE" w14:textId="77777777" w:rsidR="00801A7B" w:rsidRPr="0015585E" w:rsidRDefault="00801A7B" w:rsidP="00801A7B">
            <w:pPr>
              <w:rPr>
                <w:rFonts w:asciiTheme="minorHAnsi" w:hAnsiTheme="minorHAnsi"/>
              </w:rPr>
            </w:pPr>
          </w:p>
          <w:p w14:paraId="4B07A231" w14:textId="77777777" w:rsidR="00801A7B" w:rsidRPr="0015585E" w:rsidRDefault="00801A7B" w:rsidP="00801A7B">
            <w:pPr>
              <w:rPr>
                <w:rFonts w:asciiTheme="minorHAnsi" w:hAnsiTheme="minorHAnsi"/>
              </w:rPr>
            </w:pPr>
          </w:p>
          <w:p w14:paraId="7EE600EC" w14:textId="77777777" w:rsidR="00801A7B" w:rsidRPr="0015585E" w:rsidRDefault="00801A7B" w:rsidP="00801A7B">
            <w:pPr>
              <w:rPr>
                <w:rFonts w:asciiTheme="minorHAnsi" w:hAnsiTheme="minorHAnsi"/>
              </w:rPr>
            </w:pPr>
          </w:p>
          <w:p w14:paraId="58BE56BE" w14:textId="77777777" w:rsidR="009F1274" w:rsidRPr="0015585E" w:rsidRDefault="009F1274" w:rsidP="00CD642C">
            <w:pPr>
              <w:rPr>
                <w:rFonts w:asciiTheme="minorHAnsi" w:hAnsiTheme="minorHAnsi"/>
              </w:rPr>
            </w:pPr>
          </w:p>
        </w:tc>
        <w:tc>
          <w:tcPr>
            <w:tcW w:w="7678" w:type="dxa"/>
            <w:tcBorders>
              <w:left w:val="nil"/>
            </w:tcBorders>
            <w:shd w:val="clear" w:color="auto" w:fill="auto"/>
          </w:tcPr>
          <w:p w14:paraId="19129E5A" w14:textId="77777777" w:rsidR="00BB31D3" w:rsidRDefault="00BB31D3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Ensure care, supervision and security is provided to all children participating in Learn to Swim</w:t>
            </w:r>
            <w:r w:rsidR="00130C9E">
              <w:t>.</w:t>
            </w:r>
          </w:p>
          <w:p w14:paraId="7A51A8AD" w14:textId="77777777" w:rsidR="00BB31D3" w:rsidRDefault="00BB31D3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Maintain a clean and safe environment for staff and members of the pool</w:t>
            </w:r>
            <w:r w:rsidR="00130C9E">
              <w:t>.</w:t>
            </w:r>
          </w:p>
          <w:p w14:paraId="29C0E7B7" w14:textId="77777777" w:rsidR="00BB31D3" w:rsidRDefault="00BB31D3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Deliver excellent customer service to any member or guest of the centre</w:t>
            </w:r>
            <w:r w:rsidR="00130C9E">
              <w:t>.</w:t>
            </w:r>
          </w:p>
          <w:p w14:paraId="68861C7D" w14:textId="77777777" w:rsidR="00BB31D3" w:rsidRDefault="00BB31D3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Keep up to date with any promotions in the centre</w:t>
            </w:r>
            <w:r w:rsidR="00130C9E">
              <w:t>.</w:t>
            </w:r>
          </w:p>
          <w:p w14:paraId="7BFFCC69" w14:textId="77777777" w:rsidR="00BB31D3" w:rsidRDefault="00BB31D3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Maintain all qualifications required for the position</w:t>
            </w:r>
            <w:r w:rsidR="00130C9E">
              <w:t>.</w:t>
            </w:r>
          </w:p>
          <w:p w14:paraId="1F51D2A8" w14:textId="77777777" w:rsidR="00CD642C" w:rsidRDefault="00BB31D3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Deliver lessons in line with NCIE Learn to Swim Lesson plans</w:t>
            </w:r>
            <w:r w:rsidR="00CD642C">
              <w:t>.</w:t>
            </w:r>
          </w:p>
          <w:p w14:paraId="210B29E9" w14:textId="77777777" w:rsidR="002F2414" w:rsidRDefault="002F2414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Maintain a welcoming and safe environment for all members of the centre</w:t>
            </w:r>
          </w:p>
          <w:p w14:paraId="44538FEF" w14:textId="77777777" w:rsidR="002F2414" w:rsidRDefault="002F2414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Teach lessons in line with lesson plans</w:t>
            </w:r>
            <w:r w:rsidR="00130C9E">
              <w:t>.</w:t>
            </w:r>
          </w:p>
          <w:p w14:paraId="54C597D1" w14:textId="77777777" w:rsidR="002F2414" w:rsidRDefault="002F2414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Maintain qualifications and keep up to date with updates from the Aquatic Industry</w:t>
            </w:r>
            <w:r w:rsidR="00130C9E">
              <w:t>.</w:t>
            </w:r>
            <w:r>
              <w:t xml:space="preserve"> </w:t>
            </w:r>
          </w:p>
          <w:p w14:paraId="3B5E1E85" w14:textId="77777777" w:rsidR="002F2414" w:rsidRDefault="002F2414" w:rsidP="002F2414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Actively seeks new skills and updates regarding the swimming industry.</w:t>
            </w:r>
          </w:p>
          <w:p w14:paraId="24C595E1" w14:textId="77777777" w:rsidR="001868B6" w:rsidRPr="0015585E" w:rsidRDefault="00FD4A86" w:rsidP="00E057F0">
            <w:pPr>
              <w:pStyle w:val="NoSpacing"/>
              <w:numPr>
                <w:ilvl w:val="0"/>
                <w:numId w:val="36"/>
              </w:numPr>
              <w:ind w:left="194" w:hanging="284"/>
            </w:pPr>
            <w:r w:rsidRPr="00E057F0">
              <w:t>Perform any other duties as reasonably directed by NCIE.</w:t>
            </w:r>
          </w:p>
        </w:tc>
      </w:tr>
      <w:tr w:rsidR="00BB389D" w:rsidRPr="0015585E" w14:paraId="5B0EF3AD" w14:textId="77777777" w:rsidTr="00E057F0">
        <w:trPr>
          <w:trHeight w:val="1345"/>
        </w:trPr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4D57CDB4" w14:textId="77777777" w:rsidR="00AF1208" w:rsidRPr="0015585E" w:rsidRDefault="00330CA3" w:rsidP="009F0E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 xml:space="preserve">Key </w:t>
            </w:r>
            <w:r w:rsidR="009F0EB7" w:rsidRPr="0015585E">
              <w:rPr>
                <w:rFonts w:asciiTheme="minorHAnsi" w:hAnsiTheme="minorHAnsi"/>
                <w:b/>
                <w:bCs/>
              </w:rPr>
              <w:t>Internal &amp; External Relationships</w:t>
            </w:r>
          </w:p>
          <w:p w14:paraId="3C7B60B0" w14:textId="77777777" w:rsidR="00BB389D" w:rsidRPr="0015585E" w:rsidRDefault="00BB389D" w:rsidP="00E057F0">
            <w:pPr>
              <w:rPr>
                <w:rFonts w:asciiTheme="minorHAnsi" w:hAnsiTheme="minorHAnsi"/>
              </w:rPr>
            </w:pPr>
          </w:p>
        </w:tc>
        <w:tc>
          <w:tcPr>
            <w:tcW w:w="7678" w:type="dxa"/>
            <w:tcBorders>
              <w:left w:val="nil"/>
            </w:tcBorders>
            <w:shd w:val="clear" w:color="auto" w:fill="auto"/>
          </w:tcPr>
          <w:p w14:paraId="643901CC" w14:textId="77777777" w:rsidR="006111C1" w:rsidRDefault="00AE4C78" w:rsidP="007528F8">
            <w:pPr>
              <w:pStyle w:val="NoSpacing"/>
              <w:numPr>
                <w:ilvl w:val="0"/>
                <w:numId w:val="32"/>
              </w:numPr>
              <w:ind w:left="194" w:hanging="284"/>
            </w:pPr>
            <w:r>
              <w:t>Build and sustain effective working relationships with a network of int</w:t>
            </w:r>
            <w:r w:rsidR="00E057F0">
              <w:t>ernal and external stakeholders and ensure that all interactions with partners, educators and communitie</w:t>
            </w:r>
            <w:r w:rsidR="006111C1">
              <w:t>s foster positive relationships.</w:t>
            </w:r>
          </w:p>
          <w:p w14:paraId="7A06E259" w14:textId="77777777" w:rsidR="00AE4C78" w:rsidRDefault="00AE4C78" w:rsidP="007528F8">
            <w:pPr>
              <w:pStyle w:val="NoSpacing"/>
              <w:numPr>
                <w:ilvl w:val="0"/>
                <w:numId w:val="32"/>
              </w:numPr>
              <w:ind w:left="194" w:hanging="284"/>
            </w:pPr>
            <w:r>
              <w:t>Participate in meetings to represent work group perspective and share information.</w:t>
            </w:r>
          </w:p>
          <w:p w14:paraId="7526581B" w14:textId="77777777" w:rsidR="00720CE6" w:rsidRPr="0015585E" w:rsidRDefault="00AE4C78" w:rsidP="00AE4C78">
            <w:pPr>
              <w:pStyle w:val="NoSpacing"/>
              <w:numPr>
                <w:ilvl w:val="0"/>
                <w:numId w:val="32"/>
              </w:numPr>
              <w:ind w:left="194" w:hanging="284"/>
            </w:pPr>
            <w:r>
              <w:t>Work collaboratively to contribute to achieving the team’s business outcomes.</w:t>
            </w:r>
          </w:p>
        </w:tc>
      </w:tr>
      <w:tr w:rsidR="00722304" w:rsidRPr="0015585E" w14:paraId="6A5DC558" w14:textId="77777777" w:rsidTr="0082625B"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67A71507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>NCIE’s Core Values</w:t>
            </w:r>
          </w:p>
        </w:tc>
        <w:tc>
          <w:tcPr>
            <w:tcW w:w="7678" w:type="dxa"/>
            <w:tcBorders>
              <w:left w:val="nil"/>
            </w:tcBorders>
            <w:shd w:val="clear" w:color="auto" w:fill="auto"/>
          </w:tcPr>
          <w:p w14:paraId="0FDE9DF0" w14:textId="77777777" w:rsidR="00722304" w:rsidRPr="00570D99" w:rsidRDefault="00722304" w:rsidP="00722304">
            <w:pPr>
              <w:pStyle w:val="NoSpacing"/>
              <w:numPr>
                <w:ilvl w:val="0"/>
                <w:numId w:val="37"/>
              </w:numPr>
              <w:ind w:left="194" w:hanging="284"/>
              <w:rPr>
                <w:b/>
              </w:rPr>
            </w:pPr>
            <w:r w:rsidRPr="00D35999">
              <w:t>Consistently act</w:t>
            </w:r>
            <w:r>
              <w:t>s</w:t>
            </w:r>
            <w:r w:rsidRPr="00D35999">
              <w:t xml:space="preserve"> in accordance with the NCIE’s values, challenges practices inconsistent with these values and use values as a basis managing relationships and decision making.</w:t>
            </w:r>
          </w:p>
        </w:tc>
      </w:tr>
      <w:tr w:rsidR="00722304" w:rsidRPr="0015585E" w14:paraId="660746CF" w14:textId="77777777" w:rsidTr="0085298A">
        <w:tc>
          <w:tcPr>
            <w:tcW w:w="28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auto"/>
          </w:tcPr>
          <w:p w14:paraId="2A68B3E9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 xml:space="preserve">Employee WHS </w:t>
            </w:r>
          </w:p>
          <w:p w14:paraId="0DCABD8D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678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auto"/>
          </w:tcPr>
          <w:p w14:paraId="35D67DC6" w14:textId="77777777" w:rsidR="00722304" w:rsidRPr="00D35999" w:rsidRDefault="00722304" w:rsidP="00722304">
            <w:pPr>
              <w:pStyle w:val="NoSpacing"/>
              <w:numPr>
                <w:ilvl w:val="0"/>
                <w:numId w:val="20"/>
              </w:numPr>
              <w:ind w:left="194" w:hanging="284"/>
            </w:pPr>
            <w:r w:rsidRPr="00D35999">
              <w:t>Model</w:t>
            </w:r>
            <w:r>
              <w:t>s</w:t>
            </w:r>
            <w:r w:rsidRPr="00D35999">
              <w:t xml:space="preserve"> healthy and safe behaviour and ensur</w:t>
            </w:r>
            <w:r>
              <w:t>es</w:t>
            </w:r>
            <w:r w:rsidRPr="00D35999">
              <w:t xml:space="preserve"> personal health and safety at work.</w:t>
            </w:r>
          </w:p>
          <w:p w14:paraId="00A3ED93" w14:textId="77777777" w:rsidR="00722304" w:rsidRPr="00D35999" w:rsidRDefault="00722304" w:rsidP="00722304">
            <w:pPr>
              <w:pStyle w:val="NoSpacing"/>
              <w:numPr>
                <w:ilvl w:val="0"/>
                <w:numId w:val="20"/>
              </w:numPr>
              <w:ind w:left="194" w:hanging="284"/>
            </w:pPr>
            <w:r w:rsidRPr="00D35999">
              <w:t>Not adversely affecting the health and safety of other workers or persons</w:t>
            </w:r>
            <w:r>
              <w:t>.</w:t>
            </w:r>
          </w:p>
          <w:p w14:paraId="2BDDCF4F" w14:textId="77777777" w:rsidR="00722304" w:rsidRPr="00D35999" w:rsidRDefault="00722304" w:rsidP="00722304">
            <w:pPr>
              <w:pStyle w:val="NoSpacing"/>
              <w:numPr>
                <w:ilvl w:val="0"/>
                <w:numId w:val="20"/>
              </w:numPr>
              <w:ind w:left="194" w:hanging="284"/>
            </w:pPr>
            <w:r w:rsidRPr="00D35999">
              <w:t>Proactively detecting and reporting hazards, then reporting them to the line manager to ensure timely and proper control.</w:t>
            </w:r>
          </w:p>
          <w:p w14:paraId="7766D84C" w14:textId="77777777" w:rsidR="00722304" w:rsidRPr="00D35999" w:rsidRDefault="00722304" w:rsidP="00722304">
            <w:pPr>
              <w:pStyle w:val="NoSpacing"/>
              <w:numPr>
                <w:ilvl w:val="0"/>
                <w:numId w:val="20"/>
              </w:numPr>
              <w:ind w:left="194" w:hanging="284"/>
            </w:pPr>
            <w:r w:rsidRPr="00D35999">
              <w:t xml:space="preserve">Comply with all reasonable instructions, policies </w:t>
            </w:r>
            <w:r>
              <w:t>and</w:t>
            </w:r>
            <w:r w:rsidRPr="00D35999">
              <w:t xml:space="preserve"> procedures and safely using equipment.</w:t>
            </w:r>
          </w:p>
          <w:p w14:paraId="3F84D5B5" w14:textId="77777777" w:rsidR="00722304" w:rsidRPr="00570D99" w:rsidRDefault="00722304" w:rsidP="00722304">
            <w:pPr>
              <w:pStyle w:val="NoSpacing"/>
              <w:numPr>
                <w:ilvl w:val="0"/>
                <w:numId w:val="37"/>
              </w:numPr>
              <w:ind w:left="194" w:hanging="284"/>
            </w:pPr>
            <w:r w:rsidRPr="00D35999">
              <w:t>Reporting any incidents (near misses/injury/illnesses).</w:t>
            </w:r>
          </w:p>
        </w:tc>
      </w:tr>
      <w:tr w:rsidR="00722304" w:rsidRPr="0015585E" w14:paraId="6AEA5360" w14:textId="77777777" w:rsidTr="0082625B"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40346D08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>Risk Management</w:t>
            </w:r>
          </w:p>
        </w:tc>
        <w:tc>
          <w:tcPr>
            <w:tcW w:w="7678" w:type="dxa"/>
            <w:tcBorders>
              <w:left w:val="nil"/>
            </w:tcBorders>
            <w:shd w:val="clear" w:color="auto" w:fill="auto"/>
          </w:tcPr>
          <w:p w14:paraId="3647B315" w14:textId="77777777" w:rsidR="00722304" w:rsidRPr="00374373" w:rsidRDefault="00722304" w:rsidP="00722304">
            <w:pPr>
              <w:pStyle w:val="NoSpacing"/>
              <w:numPr>
                <w:ilvl w:val="0"/>
                <w:numId w:val="33"/>
              </w:numPr>
              <w:ind w:left="194" w:hanging="284"/>
            </w:pPr>
            <w:r w:rsidRPr="00374373">
              <w:t>Actively participate in risk assessment reviews as required and adhere to policy and operating procedures developed to manage workplace risks.</w:t>
            </w:r>
          </w:p>
          <w:p w14:paraId="77AE0B09" w14:textId="77777777" w:rsidR="00722304" w:rsidRPr="00570D99" w:rsidRDefault="00722304" w:rsidP="00722304">
            <w:pPr>
              <w:pStyle w:val="NoSpacing"/>
              <w:numPr>
                <w:ilvl w:val="0"/>
                <w:numId w:val="37"/>
              </w:numPr>
              <w:ind w:left="194" w:hanging="284"/>
            </w:pPr>
            <w:r w:rsidRPr="00374373">
              <w:t>Adhere to and uphold the consolidated organisational risk and compliance portfolio including but not limited to WHS, financial, people, systems and operational risk.</w:t>
            </w:r>
          </w:p>
        </w:tc>
      </w:tr>
      <w:tr w:rsidR="00722304" w:rsidRPr="0015585E" w14:paraId="279E79F0" w14:textId="77777777" w:rsidTr="0085298A">
        <w:tc>
          <w:tcPr>
            <w:tcW w:w="28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auto"/>
          </w:tcPr>
          <w:p w14:paraId="3A8D7480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>NCIE Policies and Procedures</w:t>
            </w:r>
          </w:p>
        </w:tc>
        <w:tc>
          <w:tcPr>
            <w:tcW w:w="7678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auto"/>
          </w:tcPr>
          <w:p w14:paraId="5FBB1842" w14:textId="77777777" w:rsidR="00722304" w:rsidRPr="00570D99" w:rsidRDefault="00722304" w:rsidP="00722304">
            <w:pPr>
              <w:pStyle w:val="NoSpacing"/>
              <w:numPr>
                <w:ilvl w:val="0"/>
                <w:numId w:val="37"/>
              </w:numPr>
              <w:ind w:left="194" w:hanging="284"/>
            </w:pPr>
            <w:r w:rsidRPr="00374373">
              <w:t>Abide by and uphold the NCIE policies and procedures.</w:t>
            </w:r>
          </w:p>
        </w:tc>
      </w:tr>
    </w:tbl>
    <w:p w14:paraId="05B8BD7D" w14:textId="77777777" w:rsidR="00570D99" w:rsidRPr="0015585E" w:rsidRDefault="00570D99" w:rsidP="00A952EC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10480"/>
      </w:tblGrid>
      <w:tr w:rsidR="00CB4E56" w:rsidRPr="0015585E" w14:paraId="04F90BD7" w14:textId="77777777" w:rsidTr="004F4D8C">
        <w:trPr>
          <w:trHeight w:val="258"/>
        </w:trPr>
        <w:tc>
          <w:tcPr>
            <w:tcW w:w="104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8" w:space="0" w:color="F9B074"/>
              <w:right w:val="single" w:sz="4" w:space="0" w:color="ED7D31" w:themeColor="accent2"/>
            </w:tcBorders>
            <w:shd w:val="clear" w:color="auto" w:fill="F79646"/>
          </w:tcPr>
          <w:p w14:paraId="1B4A1AF6" w14:textId="77777777" w:rsidR="00CB4E56" w:rsidRPr="0015585E" w:rsidRDefault="00CB4E56" w:rsidP="00A952EC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</w:rPr>
            </w:pPr>
            <w:r w:rsidRPr="0015585E">
              <w:rPr>
                <w:rFonts w:asciiTheme="minorHAnsi" w:hAnsiTheme="minorHAnsi"/>
                <w:b/>
                <w:bCs/>
                <w:color w:val="FFFFFF"/>
              </w:rPr>
              <w:t>Selection Criteria</w:t>
            </w:r>
          </w:p>
        </w:tc>
      </w:tr>
      <w:tr w:rsidR="00CB4E56" w:rsidRPr="0015585E" w14:paraId="3BDDA0C8" w14:textId="77777777" w:rsidTr="004F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FDE9D9"/>
          <w:tblLook w:val="0000" w:firstRow="0" w:lastRow="0" w:firstColumn="0" w:lastColumn="0" w:noHBand="0" w:noVBand="0"/>
        </w:tblPrEx>
        <w:tc>
          <w:tcPr>
            <w:tcW w:w="1048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</w:tcPr>
          <w:p w14:paraId="6147DA9F" w14:textId="77777777" w:rsidR="00CB4E56" w:rsidRPr="0015585E" w:rsidRDefault="00CB4E56" w:rsidP="0007122A">
            <w:pPr>
              <w:pStyle w:val="DefaultText"/>
              <w:spacing w:before="40" w:after="4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585E">
              <w:rPr>
                <w:rFonts w:asciiTheme="minorHAnsi" w:hAnsiTheme="minorHAnsi"/>
                <w:b/>
                <w:bCs/>
                <w:sz w:val="22"/>
                <w:szCs w:val="22"/>
              </w:rPr>
              <w:t>The occupant of this position will be able to demonstrate the following criteria:</w:t>
            </w:r>
          </w:p>
          <w:p w14:paraId="1C9AE35A" w14:textId="77777777" w:rsidR="002F2414" w:rsidRDefault="002F2414" w:rsidP="002F2414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>Appropr</w:t>
            </w:r>
            <w:r w:rsidR="00D758D4">
              <w:t>iate and current qualifications</w:t>
            </w:r>
            <w:r>
              <w:t xml:space="preserve"> and other relevant professional training in the Aquatics industry.</w:t>
            </w:r>
          </w:p>
          <w:p w14:paraId="7D10A226" w14:textId="77777777" w:rsidR="002F2414" w:rsidRDefault="002F2414" w:rsidP="002F2414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>Demonstrated experience as a LTS Instructor.</w:t>
            </w:r>
          </w:p>
          <w:p w14:paraId="02297D53" w14:textId="77777777" w:rsidR="002F2414" w:rsidRDefault="002F2414" w:rsidP="002F2414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>Excellent oral communication and instructional direction skills.</w:t>
            </w:r>
          </w:p>
          <w:p w14:paraId="0CB993D3" w14:textId="77777777" w:rsidR="002F2414" w:rsidRDefault="002F2414" w:rsidP="002F2414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 xml:space="preserve">Good customer service skills. </w:t>
            </w:r>
          </w:p>
          <w:p w14:paraId="4668C1BF" w14:textId="77777777" w:rsidR="004F4D8C" w:rsidRPr="00200444" w:rsidRDefault="002F2414" w:rsidP="005F39DB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>Ability to communicate effectively and work constructively with Aboriginal people and Torres Strait Islanders and a knowledge and understanding of their cultures.</w:t>
            </w:r>
          </w:p>
        </w:tc>
      </w:tr>
    </w:tbl>
    <w:p w14:paraId="406DF27F" w14:textId="77777777" w:rsidR="00CB4E56" w:rsidRPr="0015585E" w:rsidRDefault="00CB4E56" w:rsidP="0082625B">
      <w:pPr>
        <w:spacing w:after="0" w:line="240" w:lineRule="auto"/>
        <w:rPr>
          <w:rFonts w:asciiTheme="minorHAnsi" w:hAnsiTheme="minorHAnsi"/>
          <w:b/>
          <w:bCs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10480"/>
      </w:tblGrid>
      <w:tr w:rsidR="00CB4E56" w:rsidRPr="0015585E" w14:paraId="7FF0B596" w14:textId="77777777" w:rsidTr="0082625B">
        <w:tc>
          <w:tcPr>
            <w:tcW w:w="1048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14:paraId="54FCC3CF" w14:textId="77777777" w:rsidR="00CB4E56" w:rsidRPr="0015585E" w:rsidRDefault="00CB4E56" w:rsidP="00A952EC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</w:rPr>
            </w:pPr>
            <w:r w:rsidRPr="0015585E">
              <w:rPr>
                <w:rFonts w:asciiTheme="minorHAnsi" w:hAnsiTheme="minorHAnsi"/>
                <w:b/>
                <w:bCs/>
                <w:color w:val="FFFFFF"/>
              </w:rPr>
              <w:t>Practical Requirements</w:t>
            </w:r>
          </w:p>
        </w:tc>
      </w:tr>
      <w:tr w:rsidR="00CB4E56" w:rsidRPr="0015585E" w14:paraId="7B91E6CB" w14:textId="77777777" w:rsidTr="0085298A">
        <w:trPr>
          <w:trHeight w:val="1051"/>
        </w:trPr>
        <w:tc>
          <w:tcPr>
            <w:tcW w:w="10480" w:type="dxa"/>
            <w:shd w:val="clear" w:color="auto" w:fill="auto"/>
          </w:tcPr>
          <w:p w14:paraId="50733014" w14:textId="77777777" w:rsidR="002A5816" w:rsidRPr="0015585E" w:rsidRDefault="002A5816" w:rsidP="002A5816">
            <w:pPr>
              <w:pStyle w:val="NoSpacing"/>
              <w:rPr>
                <w:b/>
                <w:bCs/>
              </w:rPr>
            </w:pPr>
            <w:r w:rsidRPr="0015585E">
              <w:rPr>
                <w:bCs/>
              </w:rPr>
              <w:t xml:space="preserve">The preferred candidate will be engaged on a </w:t>
            </w:r>
            <w:r w:rsidR="005D002D">
              <w:rPr>
                <w:bCs/>
              </w:rPr>
              <w:t>casual</w:t>
            </w:r>
            <w:r w:rsidRPr="0015585E">
              <w:rPr>
                <w:bCs/>
              </w:rPr>
              <w:t xml:space="preserve"> </w:t>
            </w:r>
            <w:r w:rsidR="00E24D7B">
              <w:rPr>
                <w:bCs/>
              </w:rPr>
              <w:t>contract</w:t>
            </w:r>
            <w:r w:rsidRPr="0015585E">
              <w:rPr>
                <w:b/>
                <w:bCs/>
              </w:rPr>
              <w:t>.</w:t>
            </w:r>
          </w:p>
          <w:p w14:paraId="6E086161" w14:textId="77777777" w:rsidR="00E24D7B" w:rsidRDefault="002A5816" w:rsidP="002A5816">
            <w:pPr>
              <w:pStyle w:val="NoSpacing"/>
              <w:rPr>
                <w:bCs/>
              </w:rPr>
            </w:pPr>
            <w:r w:rsidRPr="0015585E">
              <w:rPr>
                <w:bCs/>
              </w:rPr>
              <w:t xml:space="preserve">Work outside of the normal hours of duty may be required. </w:t>
            </w:r>
          </w:p>
          <w:p w14:paraId="528CB894" w14:textId="77777777" w:rsidR="00B44162" w:rsidRPr="005D002D" w:rsidRDefault="003D30C1" w:rsidP="0015585E">
            <w:pPr>
              <w:pStyle w:val="NoSpacing"/>
              <w:rPr>
                <w:bCs/>
              </w:rPr>
            </w:pPr>
            <w:r w:rsidRPr="003D30C1">
              <w:rPr>
                <w:bCs/>
              </w:rPr>
              <w:t xml:space="preserve">Employment will be subject to a National Police Clearance and the ability to get a NSW Working with Children Check clearance is essential.  </w:t>
            </w:r>
          </w:p>
        </w:tc>
      </w:tr>
    </w:tbl>
    <w:p w14:paraId="27500291" w14:textId="77777777" w:rsidR="004A626F" w:rsidRDefault="002C7F33" w:rsidP="002C7F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0D99">
        <w:rPr>
          <w:b/>
        </w:rPr>
        <w:t xml:space="preserve">   </w:t>
      </w:r>
      <w:r w:rsidR="00D5234C">
        <w:rPr>
          <w:b/>
          <w:noProof/>
          <w:lang w:eastAsia="en-AU"/>
        </w:rPr>
        <w:t xml:space="preserve">  </w:t>
      </w:r>
      <w:r>
        <w:rPr>
          <w:b/>
          <w:noProof/>
          <w:lang w:eastAsia="en-AU"/>
        </w:rPr>
        <w:t xml:space="preserve">           </w:t>
      </w:r>
      <w:r w:rsidR="00570D99" w:rsidRPr="00F72171">
        <w:rPr>
          <w:b/>
          <w:noProof/>
          <w:lang w:eastAsia="en-AU"/>
        </w:rPr>
        <w:drawing>
          <wp:inline distT="0" distB="0" distL="0" distR="0" wp14:anchorId="041C84D7" wp14:editId="5520D072">
            <wp:extent cx="1144905" cy="1065530"/>
            <wp:effectExtent l="0" t="0" r="0" b="0"/>
            <wp:docPr id="1" name="Picture 1" descr="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l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D99" w:rsidRPr="00F72171">
        <w:rPr>
          <w:b/>
          <w:noProof/>
          <w:lang w:eastAsia="en-AU"/>
        </w:rPr>
        <w:drawing>
          <wp:inline distT="0" distB="0" distL="0" distR="0" wp14:anchorId="66E982EC" wp14:editId="27508BF3">
            <wp:extent cx="1160780" cy="771525"/>
            <wp:effectExtent l="0" t="0" r="0" b="0"/>
            <wp:docPr id="2" name="Picture 3" descr="Inclusive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lusivene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D99" w:rsidRPr="00F72171">
        <w:rPr>
          <w:b/>
          <w:noProof/>
          <w:lang w:eastAsia="en-AU"/>
        </w:rPr>
        <w:drawing>
          <wp:inline distT="0" distB="0" distL="0" distR="0" wp14:anchorId="5815B88D" wp14:editId="5455D9CE">
            <wp:extent cx="1415415" cy="787400"/>
            <wp:effectExtent l="0" t="0" r="0" b="0"/>
            <wp:docPr id="3" name="Picture 4" descr="Integ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gri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D99" w:rsidRPr="00F72171">
        <w:rPr>
          <w:b/>
          <w:noProof/>
          <w:lang w:eastAsia="en-AU"/>
        </w:rPr>
        <w:drawing>
          <wp:inline distT="0" distB="0" distL="0" distR="0" wp14:anchorId="7C9192D7" wp14:editId="77BB4E98">
            <wp:extent cx="1057275" cy="986155"/>
            <wp:effectExtent l="0" t="0" r="0" b="0"/>
            <wp:docPr id="4" name="Picture 2" descr="Grow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w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423A" w14:textId="77777777" w:rsidR="0020616E" w:rsidRPr="0020616E" w:rsidRDefault="0020616E" w:rsidP="0020616E">
      <w:pPr>
        <w:shd w:val="clear" w:color="auto" w:fill="FFFFFF"/>
        <w:jc w:val="center"/>
        <w:rPr>
          <w:rFonts w:asciiTheme="minorHAnsi" w:hAnsiTheme="minorHAnsi" w:cs="Arial"/>
          <w:b/>
          <w:i/>
          <w:color w:val="000000"/>
          <w:lang w:eastAsia="en-AU"/>
        </w:rPr>
      </w:pPr>
      <w:r w:rsidRPr="0020616E">
        <w:rPr>
          <w:rFonts w:asciiTheme="minorHAnsi" w:hAnsiTheme="minorHAnsi"/>
          <w:b/>
          <w:lang w:val="en-US"/>
        </w:rPr>
        <w:t>Applications from Aboriginal and Torres Strait Islander people are strongly encouraged</w:t>
      </w:r>
      <w:r w:rsidR="009F0EB7">
        <w:rPr>
          <w:rFonts w:asciiTheme="minorHAnsi" w:hAnsiTheme="minorHAnsi"/>
          <w:b/>
          <w:lang w:val="en-US"/>
        </w:rPr>
        <w:t>.</w:t>
      </w:r>
    </w:p>
    <w:sectPr w:rsidR="0020616E" w:rsidRPr="0020616E" w:rsidSect="004A626F">
      <w:headerReference w:type="default" r:id="rId14"/>
      <w:footerReference w:type="default" r:id="rId15"/>
      <w:pgSz w:w="11906" w:h="16838"/>
      <w:pgMar w:top="795" w:right="720" w:bottom="426" w:left="720" w:header="8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E592" w14:textId="77777777" w:rsidR="00BB31D3" w:rsidRDefault="00BB31D3" w:rsidP="0053651E">
      <w:pPr>
        <w:spacing w:after="0" w:line="240" w:lineRule="auto"/>
      </w:pPr>
      <w:r>
        <w:separator/>
      </w:r>
    </w:p>
  </w:endnote>
  <w:endnote w:type="continuationSeparator" w:id="0">
    <w:p w14:paraId="3AE0C408" w14:textId="77777777" w:rsidR="00BB31D3" w:rsidRDefault="00BB31D3" w:rsidP="0053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id w:val="-1623224327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5F1470" w14:textId="77777777" w:rsidR="00BB31D3" w:rsidRPr="000A0796" w:rsidRDefault="00BB31D3" w:rsidP="001204AF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left" w:pos="7155"/>
                <w:tab w:val="right" w:pos="10466"/>
              </w:tabs>
              <w:rPr>
                <w:color w:val="7F7F7F" w:themeColor="text1" w:themeTint="80"/>
                <w:sz w:val="20"/>
                <w:szCs w:val="20"/>
              </w:rPr>
            </w:pPr>
            <w:r w:rsidRPr="00D47429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Learn To Swim Instructor</w: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 Position Description</w: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ab/>
              <w:t xml:space="preserve">                     </w: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fldChar w:fldCharType="begin"/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instrText xml:space="preserve"> DATE \@ "d MMMM yyyy" </w:instrTex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fldChar w:fldCharType="separate"/>
            </w:r>
            <w:r w:rsidR="00C261CB">
              <w:rPr>
                <w:rFonts w:asciiTheme="minorHAnsi" w:hAnsiTheme="minorHAnsi"/>
                <w:noProof/>
                <w:color w:val="7F7F7F" w:themeColor="text1" w:themeTint="80"/>
                <w:sz w:val="20"/>
                <w:szCs w:val="20"/>
              </w:rPr>
              <w:t>25 November 2021</w: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fldChar w:fldCharType="end"/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ab/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ab/>
              <w:t xml:space="preserve">  </w:t>
            </w:r>
            <w:r w:rsidRPr="000A0796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130C9E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0A0796">
              <w:rPr>
                <w:color w:val="7F7F7F" w:themeColor="text1" w:themeTint="80"/>
                <w:sz w:val="20"/>
                <w:szCs w:val="20"/>
              </w:rPr>
              <w:t xml:space="preserve"> of </w: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130C9E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079FDA04" w14:textId="77777777" w:rsidR="00BB31D3" w:rsidRPr="0085298A" w:rsidRDefault="00BB31D3" w:rsidP="0085298A">
    <w:pPr>
      <w:pStyle w:val="Footer"/>
      <w:jc w:val="right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A5EA" w14:textId="77777777" w:rsidR="00BB31D3" w:rsidRDefault="00BB31D3" w:rsidP="0053651E">
      <w:pPr>
        <w:spacing w:after="0" w:line="240" w:lineRule="auto"/>
      </w:pPr>
      <w:r>
        <w:separator/>
      </w:r>
    </w:p>
  </w:footnote>
  <w:footnote w:type="continuationSeparator" w:id="0">
    <w:p w14:paraId="41DFECCE" w14:textId="77777777" w:rsidR="00BB31D3" w:rsidRDefault="00BB31D3" w:rsidP="0053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3184" w14:textId="77777777" w:rsidR="00BB31D3" w:rsidRDefault="00BB31D3">
    <w:pPr>
      <w:pStyle w:val="Header"/>
    </w:pPr>
    <w:r w:rsidRPr="00F72171">
      <w:rPr>
        <w:b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16E2E261" wp14:editId="1913554B">
          <wp:simplePos x="0" y="0"/>
          <wp:positionH relativeFrom="column">
            <wp:posOffset>4800600</wp:posOffset>
          </wp:positionH>
          <wp:positionV relativeFrom="paragraph">
            <wp:posOffset>-403225</wp:posOffset>
          </wp:positionV>
          <wp:extent cx="2129155" cy="487045"/>
          <wp:effectExtent l="0" t="0" r="4445" b="8255"/>
          <wp:wrapTopAndBottom/>
          <wp:docPr id="56" name="Picture 0" descr="NCIE_logo_FullColour_high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CIE_logo_FullColour_highr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DB0"/>
    <w:multiLevelType w:val="hybridMultilevel"/>
    <w:tmpl w:val="0E56540E"/>
    <w:lvl w:ilvl="0" w:tplc="B372B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1" w:tplc="08829DF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3F2"/>
    <w:multiLevelType w:val="hybridMultilevel"/>
    <w:tmpl w:val="A0F6AE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6FC3"/>
    <w:multiLevelType w:val="hybridMultilevel"/>
    <w:tmpl w:val="BA106D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6D22"/>
    <w:multiLevelType w:val="multilevel"/>
    <w:tmpl w:val="AC328238"/>
    <w:numStyleLink w:val="Bullettedlists"/>
  </w:abstractNum>
  <w:abstractNum w:abstractNumId="4" w15:restartNumberingAfterBreak="0">
    <w:nsid w:val="0D6F0795"/>
    <w:multiLevelType w:val="hybridMultilevel"/>
    <w:tmpl w:val="0FB03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0F6"/>
    <w:multiLevelType w:val="hybridMultilevel"/>
    <w:tmpl w:val="BFB63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225C1"/>
    <w:multiLevelType w:val="multilevel"/>
    <w:tmpl w:val="AC328238"/>
    <w:styleLink w:val="Bullettedlists"/>
    <w:lvl w:ilvl="0">
      <w:start w:val="1"/>
      <w:numFmt w:val="bullet"/>
      <w:pStyle w:val="ListBullet"/>
      <w:lvlText w:val=""/>
      <w:lvlJc w:val="left"/>
      <w:pPr>
        <w:ind w:left="432" w:hanging="432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pStyle w:val="ListBullet2"/>
      <w:lvlText w:val=""/>
      <w:lvlJc w:val="left"/>
      <w:pPr>
        <w:ind w:left="864" w:hanging="432"/>
      </w:pPr>
      <w:rPr>
        <w:rFonts w:ascii="Symbol" w:hAnsi="Symbol" w:hint="default"/>
        <w:color w:val="A5A5A5" w:themeColor="accent3"/>
      </w:rPr>
    </w:lvl>
    <w:lvl w:ilvl="2">
      <w:start w:val="1"/>
      <w:numFmt w:val="bullet"/>
      <w:pStyle w:val="ListBullet3"/>
      <w:lvlText w:val=""/>
      <w:lvlJc w:val="left"/>
      <w:pPr>
        <w:ind w:left="1296" w:hanging="432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pStyle w:val="ListBullet4"/>
      <w:lvlText w:val=""/>
      <w:lvlJc w:val="left"/>
      <w:pPr>
        <w:ind w:left="1728" w:hanging="432"/>
      </w:pPr>
      <w:rPr>
        <w:rFonts w:ascii="Symbol" w:hAnsi="Symbol" w:hint="default"/>
        <w:color w:val="5B9BD5" w:themeColor="accent1"/>
      </w:rPr>
    </w:lvl>
    <w:lvl w:ilvl="4">
      <w:start w:val="1"/>
      <w:numFmt w:val="bullet"/>
      <w:pStyle w:val="ListBullet5"/>
      <w:lvlText w:val="o"/>
      <w:lvlJc w:val="left"/>
      <w:pPr>
        <w:ind w:left="2160" w:hanging="432"/>
      </w:pPr>
      <w:rPr>
        <w:rFonts w:ascii="Courier New" w:hAnsi="Courier New" w:hint="default"/>
        <w:color w:val="5B9BD5" w:themeColor="accent1"/>
      </w:rPr>
    </w:lvl>
    <w:lvl w:ilvl="5">
      <w:start w:val="1"/>
      <w:numFmt w:val="bullet"/>
      <w:lvlText w:val=""/>
      <w:lvlJc w:val="left"/>
      <w:pPr>
        <w:tabs>
          <w:tab w:val="num" w:pos="317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94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56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14036ADD"/>
    <w:multiLevelType w:val="hybridMultilevel"/>
    <w:tmpl w:val="D86A1D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5674"/>
    <w:multiLevelType w:val="hybridMultilevel"/>
    <w:tmpl w:val="DD6406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07B9"/>
    <w:multiLevelType w:val="hybridMultilevel"/>
    <w:tmpl w:val="D792B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04815"/>
    <w:multiLevelType w:val="hybridMultilevel"/>
    <w:tmpl w:val="E3863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C351F"/>
    <w:multiLevelType w:val="hybridMultilevel"/>
    <w:tmpl w:val="01E4F746"/>
    <w:lvl w:ilvl="0" w:tplc="85544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354E"/>
    <w:multiLevelType w:val="hybridMultilevel"/>
    <w:tmpl w:val="5BCAB7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2117"/>
    <w:multiLevelType w:val="hybridMultilevel"/>
    <w:tmpl w:val="636818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5946D8"/>
    <w:multiLevelType w:val="hybridMultilevel"/>
    <w:tmpl w:val="346218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A1AF3"/>
    <w:multiLevelType w:val="hybridMultilevel"/>
    <w:tmpl w:val="142677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3FE0"/>
    <w:multiLevelType w:val="hybridMultilevel"/>
    <w:tmpl w:val="6CAEB7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35678"/>
    <w:multiLevelType w:val="hybridMultilevel"/>
    <w:tmpl w:val="DDFCA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8A7AFD"/>
    <w:multiLevelType w:val="hybridMultilevel"/>
    <w:tmpl w:val="03E0F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642FD"/>
    <w:multiLevelType w:val="hybridMultilevel"/>
    <w:tmpl w:val="ADF2D1FE"/>
    <w:lvl w:ilvl="0" w:tplc="8B4451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104F9"/>
    <w:multiLevelType w:val="hybridMultilevel"/>
    <w:tmpl w:val="CF86C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027"/>
    <w:multiLevelType w:val="hybridMultilevel"/>
    <w:tmpl w:val="E2509B6E"/>
    <w:lvl w:ilvl="0" w:tplc="0C09000F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13008"/>
    <w:multiLevelType w:val="hybridMultilevel"/>
    <w:tmpl w:val="C58C10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143B4"/>
    <w:multiLevelType w:val="hybridMultilevel"/>
    <w:tmpl w:val="380CB5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62343"/>
    <w:multiLevelType w:val="hybridMultilevel"/>
    <w:tmpl w:val="E85A43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2F03"/>
    <w:multiLevelType w:val="hybridMultilevel"/>
    <w:tmpl w:val="86025D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D82866"/>
    <w:multiLevelType w:val="hybridMultilevel"/>
    <w:tmpl w:val="794E1B0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27339D6"/>
    <w:multiLevelType w:val="hybridMultilevel"/>
    <w:tmpl w:val="189C75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D1F05"/>
    <w:multiLevelType w:val="hybridMultilevel"/>
    <w:tmpl w:val="62E2D8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EEF"/>
    <w:multiLevelType w:val="hybridMultilevel"/>
    <w:tmpl w:val="37A65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A2039"/>
    <w:multiLevelType w:val="hybridMultilevel"/>
    <w:tmpl w:val="D4FA2F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C46B2"/>
    <w:multiLevelType w:val="hybridMultilevel"/>
    <w:tmpl w:val="ACA0E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C4A9C"/>
    <w:multiLevelType w:val="hybridMultilevel"/>
    <w:tmpl w:val="26445B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35F85"/>
    <w:multiLevelType w:val="hybridMultilevel"/>
    <w:tmpl w:val="72B03D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74122"/>
    <w:multiLevelType w:val="hybridMultilevel"/>
    <w:tmpl w:val="FDBEEE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75993"/>
    <w:multiLevelType w:val="hybridMultilevel"/>
    <w:tmpl w:val="54A25B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82EB2"/>
    <w:multiLevelType w:val="hybridMultilevel"/>
    <w:tmpl w:val="35F66D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B1450"/>
    <w:multiLevelType w:val="hybridMultilevel"/>
    <w:tmpl w:val="F416AB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28"/>
  </w:num>
  <w:num w:numId="8">
    <w:abstractNumId w:val="2"/>
  </w:num>
  <w:num w:numId="9">
    <w:abstractNumId w:val="27"/>
  </w:num>
  <w:num w:numId="10">
    <w:abstractNumId w:val="37"/>
  </w:num>
  <w:num w:numId="11">
    <w:abstractNumId w:val="20"/>
  </w:num>
  <w:num w:numId="12">
    <w:abstractNumId w:val="26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  <w:num w:numId="17">
    <w:abstractNumId w:val="19"/>
  </w:num>
  <w:num w:numId="18">
    <w:abstractNumId w:val="31"/>
  </w:num>
  <w:num w:numId="19">
    <w:abstractNumId w:val="18"/>
  </w:num>
  <w:num w:numId="20">
    <w:abstractNumId w:val="24"/>
  </w:num>
  <w:num w:numId="21">
    <w:abstractNumId w:val="5"/>
  </w:num>
  <w:num w:numId="22">
    <w:abstractNumId w:val="29"/>
  </w:num>
  <w:num w:numId="23">
    <w:abstractNumId w:val="4"/>
  </w:num>
  <w:num w:numId="24">
    <w:abstractNumId w:val="14"/>
  </w:num>
  <w:num w:numId="25">
    <w:abstractNumId w:val="33"/>
  </w:num>
  <w:num w:numId="26">
    <w:abstractNumId w:val="23"/>
  </w:num>
  <w:num w:numId="27">
    <w:abstractNumId w:val="17"/>
  </w:num>
  <w:num w:numId="28">
    <w:abstractNumId w:val="35"/>
  </w:num>
  <w:num w:numId="29">
    <w:abstractNumId w:val="32"/>
  </w:num>
  <w:num w:numId="30">
    <w:abstractNumId w:val="0"/>
  </w:num>
  <w:num w:numId="31">
    <w:abstractNumId w:val="21"/>
  </w:num>
  <w:num w:numId="32">
    <w:abstractNumId w:val="36"/>
  </w:num>
  <w:num w:numId="33">
    <w:abstractNumId w:val="30"/>
  </w:num>
  <w:num w:numId="34">
    <w:abstractNumId w:val="15"/>
  </w:num>
  <w:num w:numId="35">
    <w:abstractNumId w:val="22"/>
  </w:num>
  <w:num w:numId="36">
    <w:abstractNumId w:val="34"/>
  </w:num>
  <w:num w:numId="37">
    <w:abstractNumId w:val="7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C8"/>
    <w:rsid w:val="00003AD1"/>
    <w:rsid w:val="00006296"/>
    <w:rsid w:val="00021BB0"/>
    <w:rsid w:val="000256AC"/>
    <w:rsid w:val="0003099B"/>
    <w:rsid w:val="000315A6"/>
    <w:rsid w:val="00035575"/>
    <w:rsid w:val="0007122A"/>
    <w:rsid w:val="00077900"/>
    <w:rsid w:val="00080EB3"/>
    <w:rsid w:val="000826A1"/>
    <w:rsid w:val="0009219D"/>
    <w:rsid w:val="00094C57"/>
    <w:rsid w:val="000A0796"/>
    <w:rsid w:val="000B37BB"/>
    <w:rsid w:val="000D4E3A"/>
    <w:rsid w:val="00103BBA"/>
    <w:rsid w:val="0010760E"/>
    <w:rsid w:val="00107A54"/>
    <w:rsid w:val="001204AF"/>
    <w:rsid w:val="00130C9E"/>
    <w:rsid w:val="0013596E"/>
    <w:rsid w:val="00142EF5"/>
    <w:rsid w:val="001546E0"/>
    <w:rsid w:val="0015585E"/>
    <w:rsid w:val="0015603C"/>
    <w:rsid w:val="00160433"/>
    <w:rsid w:val="00166FD8"/>
    <w:rsid w:val="00167D9F"/>
    <w:rsid w:val="001852EE"/>
    <w:rsid w:val="001868B6"/>
    <w:rsid w:val="001C0342"/>
    <w:rsid w:val="001E13DF"/>
    <w:rsid w:val="001F0BA0"/>
    <w:rsid w:val="001F28D3"/>
    <w:rsid w:val="00200444"/>
    <w:rsid w:val="0020616E"/>
    <w:rsid w:val="00235A48"/>
    <w:rsid w:val="00235E0B"/>
    <w:rsid w:val="0026706B"/>
    <w:rsid w:val="00276E95"/>
    <w:rsid w:val="0029482F"/>
    <w:rsid w:val="002A0C4F"/>
    <w:rsid w:val="002A4170"/>
    <w:rsid w:val="002A5816"/>
    <w:rsid w:val="002C763C"/>
    <w:rsid w:val="002C7E87"/>
    <w:rsid w:val="002C7F33"/>
    <w:rsid w:val="002E0B94"/>
    <w:rsid w:val="002E0E82"/>
    <w:rsid w:val="002E1F98"/>
    <w:rsid w:val="002F2414"/>
    <w:rsid w:val="0030564C"/>
    <w:rsid w:val="00314C8D"/>
    <w:rsid w:val="003167AE"/>
    <w:rsid w:val="00324D8A"/>
    <w:rsid w:val="00327715"/>
    <w:rsid w:val="00330CA3"/>
    <w:rsid w:val="0034732B"/>
    <w:rsid w:val="00350317"/>
    <w:rsid w:val="0037198F"/>
    <w:rsid w:val="00396522"/>
    <w:rsid w:val="003A34CF"/>
    <w:rsid w:val="003A4B7C"/>
    <w:rsid w:val="003C2C54"/>
    <w:rsid w:val="003C2DDE"/>
    <w:rsid w:val="003C7CA5"/>
    <w:rsid w:val="003D30C1"/>
    <w:rsid w:val="003E02B7"/>
    <w:rsid w:val="003E1BB0"/>
    <w:rsid w:val="003E60F0"/>
    <w:rsid w:val="003F21FB"/>
    <w:rsid w:val="004003E9"/>
    <w:rsid w:val="004155B0"/>
    <w:rsid w:val="004156FA"/>
    <w:rsid w:val="00424B0B"/>
    <w:rsid w:val="00430B24"/>
    <w:rsid w:val="00434442"/>
    <w:rsid w:val="0043614E"/>
    <w:rsid w:val="0044261C"/>
    <w:rsid w:val="00460D2F"/>
    <w:rsid w:val="0046713A"/>
    <w:rsid w:val="00470500"/>
    <w:rsid w:val="00473AE6"/>
    <w:rsid w:val="004856B1"/>
    <w:rsid w:val="00492196"/>
    <w:rsid w:val="004A4870"/>
    <w:rsid w:val="004A59C8"/>
    <w:rsid w:val="004A5A8C"/>
    <w:rsid w:val="004A626F"/>
    <w:rsid w:val="004B4BA1"/>
    <w:rsid w:val="004C0824"/>
    <w:rsid w:val="004C1600"/>
    <w:rsid w:val="004C2900"/>
    <w:rsid w:val="004C3435"/>
    <w:rsid w:val="004F4D8C"/>
    <w:rsid w:val="00502B21"/>
    <w:rsid w:val="005103E4"/>
    <w:rsid w:val="005237DF"/>
    <w:rsid w:val="005338DE"/>
    <w:rsid w:val="0053651E"/>
    <w:rsid w:val="0053779C"/>
    <w:rsid w:val="0054646B"/>
    <w:rsid w:val="00555397"/>
    <w:rsid w:val="00564F6A"/>
    <w:rsid w:val="00570D99"/>
    <w:rsid w:val="00582876"/>
    <w:rsid w:val="00594075"/>
    <w:rsid w:val="005952F1"/>
    <w:rsid w:val="005A18D7"/>
    <w:rsid w:val="005A3101"/>
    <w:rsid w:val="005D002D"/>
    <w:rsid w:val="005E55B3"/>
    <w:rsid w:val="005F39DB"/>
    <w:rsid w:val="006111C1"/>
    <w:rsid w:val="0061643C"/>
    <w:rsid w:val="0062563E"/>
    <w:rsid w:val="00632BB8"/>
    <w:rsid w:val="00635F3C"/>
    <w:rsid w:val="00641EE3"/>
    <w:rsid w:val="006458B9"/>
    <w:rsid w:val="00661E3B"/>
    <w:rsid w:val="00662B91"/>
    <w:rsid w:val="00670B20"/>
    <w:rsid w:val="006739E1"/>
    <w:rsid w:val="006A404D"/>
    <w:rsid w:val="006A5987"/>
    <w:rsid w:val="006B2668"/>
    <w:rsid w:val="006C0E8A"/>
    <w:rsid w:val="006C2D1E"/>
    <w:rsid w:val="006D15F9"/>
    <w:rsid w:val="006E4D73"/>
    <w:rsid w:val="006F619E"/>
    <w:rsid w:val="007018D1"/>
    <w:rsid w:val="00702CDB"/>
    <w:rsid w:val="00703655"/>
    <w:rsid w:val="0070487D"/>
    <w:rsid w:val="0070682E"/>
    <w:rsid w:val="00720CE6"/>
    <w:rsid w:val="00722304"/>
    <w:rsid w:val="007258E6"/>
    <w:rsid w:val="00746C88"/>
    <w:rsid w:val="007528F8"/>
    <w:rsid w:val="00753030"/>
    <w:rsid w:val="00790547"/>
    <w:rsid w:val="007C21A6"/>
    <w:rsid w:val="007C3835"/>
    <w:rsid w:val="007C4B2D"/>
    <w:rsid w:val="007E526F"/>
    <w:rsid w:val="007F447A"/>
    <w:rsid w:val="00801A7B"/>
    <w:rsid w:val="00806F68"/>
    <w:rsid w:val="008224D7"/>
    <w:rsid w:val="008248D9"/>
    <w:rsid w:val="0082625B"/>
    <w:rsid w:val="0084796D"/>
    <w:rsid w:val="0085298A"/>
    <w:rsid w:val="0085550A"/>
    <w:rsid w:val="00857A52"/>
    <w:rsid w:val="00862BB1"/>
    <w:rsid w:val="0086453B"/>
    <w:rsid w:val="00867717"/>
    <w:rsid w:val="00880DD2"/>
    <w:rsid w:val="00892425"/>
    <w:rsid w:val="00892F89"/>
    <w:rsid w:val="008A1B09"/>
    <w:rsid w:val="008C3832"/>
    <w:rsid w:val="008D2D6E"/>
    <w:rsid w:val="008D61A9"/>
    <w:rsid w:val="008E3A97"/>
    <w:rsid w:val="00900BF3"/>
    <w:rsid w:val="00903A33"/>
    <w:rsid w:val="00906352"/>
    <w:rsid w:val="00925209"/>
    <w:rsid w:val="00926CFF"/>
    <w:rsid w:val="0093544F"/>
    <w:rsid w:val="00935E3B"/>
    <w:rsid w:val="009468E9"/>
    <w:rsid w:val="0095177D"/>
    <w:rsid w:val="00953077"/>
    <w:rsid w:val="00957D94"/>
    <w:rsid w:val="00960E03"/>
    <w:rsid w:val="0096731F"/>
    <w:rsid w:val="0097335D"/>
    <w:rsid w:val="00976F52"/>
    <w:rsid w:val="00981373"/>
    <w:rsid w:val="00984DDA"/>
    <w:rsid w:val="009867A6"/>
    <w:rsid w:val="00990E31"/>
    <w:rsid w:val="0099492F"/>
    <w:rsid w:val="009A6D00"/>
    <w:rsid w:val="009B0719"/>
    <w:rsid w:val="009B66CD"/>
    <w:rsid w:val="009C31F0"/>
    <w:rsid w:val="009D3913"/>
    <w:rsid w:val="009E0B22"/>
    <w:rsid w:val="009E5425"/>
    <w:rsid w:val="009F0EB7"/>
    <w:rsid w:val="009F1274"/>
    <w:rsid w:val="00A067B1"/>
    <w:rsid w:val="00A33999"/>
    <w:rsid w:val="00A60457"/>
    <w:rsid w:val="00A6109B"/>
    <w:rsid w:val="00A6664A"/>
    <w:rsid w:val="00A84925"/>
    <w:rsid w:val="00A952EC"/>
    <w:rsid w:val="00AA051D"/>
    <w:rsid w:val="00AA0B66"/>
    <w:rsid w:val="00AB764B"/>
    <w:rsid w:val="00AD7071"/>
    <w:rsid w:val="00AE11F2"/>
    <w:rsid w:val="00AE4C78"/>
    <w:rsid w:val="00AF1208"/>
    <w:rsid w:val="00AF3CFB"/>
    <w:rsid w:val="00AF71A1"/>
    <w:rsid w:val="00B16669"/>
    <w:rsid w:val="00B33B5B"/>
    <w:rsid w:val="00B37A13"/>
    <w:rsid w:val="00B416C2"/>
    <w:rsid w:val="00B44162"/>
    <w:rsid w:val="00B5523F"/>
    <w:rsid w:val="00B82E1E"/>
    <w:rsid w:val="00BA152A"/>
    <w:rsid w:val="00BB31D3"/>
    <w:rsid w:val="00BB389D"/>
    <w:rsid w:val="00BC12DA"/>
    <w:rsid w:val="00BF4BBD"/>
    <w:rsid w:val="00C01D22"/>
    <w:rsid w:val="00C12C5F"/>
    <w:rsid w:val="00C261CB"/>
    <w:rsid w:val="00C26F1B"/>
    <w:rsid w:val="00C46CD4"/>
    <w:rsid w:val="00C608B8"/>
    <w:rsid w:val="00C6275D"/>
    <w:rsid w:val="00C7595A"/>
    <w:rsid w:val="00C7737A"/>
    <w:rsid w:val="00C818F5"/>
    <w:rsid w:val="00C87813"/>
    <w:rsid w:val="00C976FA"/>
    <w:rsid w:val="00CA55BF"/>
    <w:rsid w:val="00CB4E56"/>
    <w:rsid w:val="00CB55DE"/>
    <w:rsid w:val="00CC1865"/>
    <w:rsid w:val="00CD642C"/>
    <w:rsid w:val="00CD73BC"/>
    <w:rsid w:val="00D265EA"/>
    <w:rsid w:val="00D30AE8"/>
    <w:rsid w:val="00D46106"/>
    <w:rsid w:val="00D47429"/>
    <w:rsid w:val="00D5234C"/>
    <w:rsid w:val="00D5525C"/>
    <w:rsid w:val="00D70B88"/>
    <w:rsid w:val="00D758D4"/>
    <w:rsid w:val="00DB131D"/>
    <w:rsid w:val="00DC3A62"/>
    <w:rsid w:val="00DE5903"/>
    <w:rsid w:val="00E057F0"/>
    <w:rsid w:val="00E135F9"/>
    <w:rsid w:val="00E1604F"/>
    <w:rsid w:val="00E22511"/>
    <w:rsid w:val="00E24D7B"/>
    <w:rsid w:val="00E33DA9"/>
    <w:rsid w:val="00E37146"/>
    <w:rsid w:val="00E76962"/>
    <w:rsid w:val="00E80A22"/>
    <w:rsid w:val="00E8468F"/>
    <w:rsid w:val="00EA0898"/>
    <w:rsid w:val="00EC2B55"/>
    <w:rsid w:val="00ED0109"/>
    <w:rsid w:val="00ED1FC7"/>
    <w:rsid w:val="00EE6AE9"/>
    <w:rsid w:val="00EF0165"/>
    <w:rsid w:val="00F01466"/>
    <w:rsid w:val="00F11368"/>
    <w:rsid w:val="00F12D48"/>
    <w:rsid w:val="00F2438E"/>
    <w:rsid w:val="00F26BA4"/>
    <w:rsid w:val="00F26EA9"/>
    <w:rsid w:val="00F518FD"/>
    <w:rsid w:val="00F700BE"/>
    <w:rsid w:val="00F72171"/>
    <w:rsid w:val="00F9232B"/>
    <w:rsid w:val="00F924E7"/>
    <w:rsid w:val="00FB37A6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57E1A2"/>
  <w15:chartTrackingRefBased/>
  <w15:docId w15:val="{50D3A238-60FF-4774-BED5-2448029D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1A1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976F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E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1E"/>
  </w:style>
  <w:style w:type="paragraph" w:styleId="Footer">
    <w:name w:val="footer"/>
    <w:basedOn w:val="Normal"/>
    <w:link w:val="FooterChar"/>
    <w:uiPriority w:val="99"/>
    <w:unhideWhenUsed/>
    <w:rsid w:val="0053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1E"/>
  </w:style>
  <w:style w:type="character" w:styleId="CommentReference">
    <w:name w:val="annotation reference"/>
    <w:uiPriority w:val="99"/>
    <w:semiHidden/>
    <w:unhideWhenUsed/>
    <w:rsid w:val="00CB4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4E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4E56"/>
    <w:rPr>
      <w:b/>
      <w:bCs/>
      <w:lang w:eastAsia="en-US"/>
    </w:rPr>
  </w:style>
  <w:style w:type="paragraph" w:customStyle="1" w:styleId="DefaultText">
    <w:name w:val="Default Text"/>
    <w:basedOn w:val="Normal"/>
    <w:rsid w:val="00CB4E56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327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5298A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94C57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qFormat/>
    <w:rsid w:val="00E8468F"/>
    <w:pPr>
      <w:numPr>
        <w:numId w:val="5"/>
      </w:numPr>
      <w:spacing w:after="210"/>
    </w:pPr>
    <w:rPr>
      <w:rFonts w:asciiTheme="minorHAnsi" w:eastAsiaTheme="minorHAnsi" w:hAnsiTheme="minorHAnsi"/>
      <w:color w:val="000000" w:themeColor="text1"/>
      <w:sz w:val="21"/>
      <w:szCs w:val="21"/>
    </w:rPr>
  </w:style>
  <w:style w:type="paragraph" w:styleId="ListBullet2">
    <w:name w:val="List Bullet 2"/>
    <w:basedOn w:val="Normal"/>
    <w:uiPriority w:val="99"/>
    <w:qFormat/>
    <w:rsid w:val="00E8468F"/>
    <w:pPr>
      <w:numPr>
        <w:ilvl w:val="1"/>
        <w:numId w:val="5"/>
      </w:numPr>
      <w:spacing w:after="210"/>
    </w:pPr>
    <w:rPr>
      <w:rFonts w:asciiTheme="minorHAnsi" w:eastAsiaTheme="minorHAnsi" w:hAnsiTheme="minorHAnsi"/>
      <w:color w:val="000000" w:themeColor="text1"/>
      <w:sz w:val="21"/>
      <w:szCs w:val="21"/>
    </w:rPr>
  </w:style>
  <w:style w:type="numbering" w:customStyle="1" w:styleId="Bullettedlists">
    <w:name w:val="Bulletted lists"/>
    <w:uiPriority w:val="99"/>
    <w:rsid w:val="00E8468F"/>
    <w:pPr>
      <w:numPr>
        <w:numId w:val="4"/>
      </w:numPr>
    </w:pPr>
  </w:style>
  <w:style w:type="paragraph" w:styleId="ListBullet3">
    <w:name w:val="List Bullet 3"/>
    <w:basedOn w:val="Normal"/>
    <w:uiPriority w:val="99"/>
    <w:semiHidden/>
    <w:unhideWhenUsed/>
    <w:rsid w:val="00E8468F"/>
    <w:pPr>
      <w:numPr>
        <w:ilvl w:val="2"/>
        <w:numId w:val="5"/>
      </w:numPr>
      <w:spacing w:after="210"/>
      <w:contextualSpacing/>
    </w:pPr>
    <w:rPr>
      <w:rFonts w:asciiTheme="minorHAnsi" w:eastAsiaTheme="minorHAnsi" w:hAnsiTheme="minorHAnsi"/>
      <w:color w:val="000000" w:themeColor="text1"/>
      <w:sz w:val="21"/>
      <w:szCs w:val="21"/>
    </w:rPr>
  </w:style>
  <w:style w:type="paragraph" w:styleId="ListBullet4">
    <w:name w:val="List Bullet 4"/>
    <w:basedOn w:val="Normal"/>
    <w:uiPriority w:val="99"/>
    <w:semiHidden/>
    <w:unhideWhenUsed/>
    <w:rsid w:val="00E8468F"/>
    <w:pPr>
      <w:numPr>
        <w:ilvl w:val="3"/>
        <w:numId w:val="5"/>
      </w:numPr>
      <w:spacing w:after="210"/>
      <w:contextualSpacing/>
    </w:pPr>
    <w:rPr>
      <w:rFonts w:asciiTheme="minorHAnsi" w:eastAsiaTheme="minorHAnsi" w:hAnsiTheme="minorHAnsi"/>
      <w:color w:val="000000" w:themeColor="text1"/>
      <w:sz w:val="21"/>
      <w:szCs w:val="21"/>
    </w:rPr>
  </w:style>
  <w:style w:type="paragraph" w:styleId="ListBullet5">
    <w:name w:val="List Bullet 5"/>
    <w:basedOn w:val="Normal"/>
    <w:uiPriority w:val="99"/>
    <w:semiHidden/>
    <w:unhideWhenUsed/>
    <w:rsid w:val="00E8468F"/>
    <w:pPr>
      <w:numPr>
        <w:ilvl w:val="4"/>
        <w:numId w:val="5"/>
      </w:numPr>
      <w:spacing w:after="210"/>
      <w:contextualSpacing/>
    </w:pPr>
    <w:rPr>
      <w:rFonts w:asciiTheme="minorHAnsi" w:eastAsiaTheme="minorHAnsi" w:hAnsiTheme="minorHAnsi"/>
      <w:color w:val="000000" w:themeColor="text1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F1274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26BA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D4A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95C751C155F48A79E821D503BC473" ma:contentTypeVersion="1" ma:contentTypeDescription="Create a new document." ma:contentTypeScope="" ma:versionID="ea256e859a1f6c99aa207ed3035c7ce8">
  <xsd:schema xmlns:xsd="http://www.w3.org/2001/XMLSchema" xmlns:xs="http://www.w3.org/2001/XMLSchema" xmlns:p="http://schemas.microsoft.com/office/2006/metadata/properties" xmlns:ns2="634450f6-23ae-4d11-a47b-5bc834a1c6bb" targetNamespace="http://schemas.microsoft.com/office/2006/metadata/properties" ma:root="true" ma:fieldsID="b164ceeaf4cb4a01c9f38d69a7b667b9" ns2:_="">
    <xsd:import namespace="634450f6-23ae-4d11-a47b-5bc834a1c6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450f6-23ae-4d11-a47b-5bc834a1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34A95-E360-4810-80BB-A1F06C2BB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C8DEF-E2CA-4194-85A0-FC9F1FAE5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450f6-23ae-4d11-a47b-5bc834a1c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15F7C-B737-4247-9BF8-73C373697A5F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34450f6-23ae-4d11-a47b-5bc834a1c6b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kovarim</dc:creator>
  <cp:keywords/>
  <cp:lastModifiedBy>Martha Hutchinson (NCIE)</cp:lastModifiedBy>
  <cp:revision>3</cp:revision>
  <cp:lastPrinted>2019-05-21T01:10:00Z</cp:lastPrinted>
  <dcterms:created xsi:type="dcterms:W3CDTF">2020-05-27T23:04:00Z</dcterms:created>
  <dcterms:modified xsi:type="dcterms:W3CDTF">2021-11-25T05:39:00Z</dcterms:modified>
</cp:coreProperties>
</file>